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CA800">
      <w:pPr>
        <w:jc w:val="center"/>
        <w:rPr>
          <w:rFonts w:hint="default" w:ascii="Times New Roman" w:hAnsi="Times New Roman" w:cs="Times New Roman"/>
          <w:color w:val="auto"/>
          <w:sz w:val="44"/>
          <w:szCs w:val="44"/>
        </w:rPr>
      </w:pPr>
      <w:r>
        <w:rPr>
          <w:rFonts w:hint="default" w:ascii="Times New Roman" w:hAnsi="Times New Roman" w:eastAsia="方正小标宋简体" w:cs="Times New Roman"/>
          <w:color w:val="auto"/>
          <w:sz w:val="44"/>
          <w:szCs w:val="44"/>
          <w:lang w:eastAsia="zh-CN"/>
        </w:rPr>
        <w:t>株洲市芦淞区</w:t>
      </w:r>
      <w:r>
        <w:rPr>
          <w:rFonts w:hint="default" w:ascii="Times New Roman" w:hAnsi="Times New Roman" w:eastAsia="方正小标宋简体" w:cs="Times New Roman"/>
          <w:color w:val="auto"/>
          <w:sz w:val="44"/>
          <w:szCs w:val="44"/>
        </w:rPr>
        <w:t>涉企经营许可事项告知书</w:t>
      </w:r>
    </w:p>
    <w:p w14:paraId="34205CD6">
      <w:pPr>
        <w:keepNext w:val="0"/>
        <w:keepLines w:val="0"/>
        <w:pageBreakBefore w:val="0"/>
        <w:widowControl/>
        <w:numPr>
          <w:ilvl w:val="0"/>
          <w:numId w:val="0"/>
        </w:numPr>
        <w:kinsoku/>
        <w:wordWrap/>
        <w:overflowPunct/>
        <w:topLinePunct w:val="0"/>
        <w:autoSpaceDE/>
        <w:autoSpaceDN/>
        <w:bidi w:val="0"/>
        <w:spacing w:line="600" w:lineRule="exact"/>
        <w:ind w:left="630" w:leftChars="0" w:right="0" w:rightChars="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val="en-US" w:eastAsia="zh-CN"/>
        </w:rPr>
        <w:t>一、</w:t>
      </w:r>
      <w:r>
        <w:rPr>
          <w:rFonts w:hint="default" w:ascii="Times New Roman" w:hAnsi="Times New Roman" w:eastAsia="黑体" w:cs="Times New Roman"/>
          <w:color w:val="auto"/>
          <w:kern w:val="0"/>
          <w:sz w:val="32"/>
          <w:szCs w:val="32"/>
        </w:rPr>
        <w:t>许可事项名称及编码</w:t>
      </w:r>
    </w:p>
    <w:p w14:paraId="52667EE6">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兽药经营许可证核发</w:t>
      </w:r>
      <w:r>
        <w:rPr>
          <w:rFonts w:hint="eastAsia" w:ascii="仿宋_GB2312" w:hAnsi="仿宋_GB2312" w:eastAsia="仿宋_GB2312" w:cs="仿宋_GB2312"/>
          <w:sz w:val="32"/>
          <w:szCs w:val="32"/>
        </w:rPr>
        <w:t>000120075000</w:t>
      </w:r>
    </w:p>
    <w:p w14:paraId="33809EB6">
      <w:pPr>
        <w:keepNext w:val="0"/>
        <w:keepLines w:val="0"/>
        <w:pageBreakBefore w:val="0"/>
        <w:kinsoku/>
        <w:wordWrap/>
        <w:overflowPunct/>
        <w:topLinePunct w:val="0"/>
        <w:autoSpaceDE/>
        <w:autoSpaceDN/>
        <w:bidi w:val="0"/>
        <w:spacing w:line="600" w:lineRule="exact"/>
        <w:ind w:firstLine="640" w:firstLineChars="200"/>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二、许可事项告知部门</w:t>
      </w:r>
    </w:p>
    <w:p w14:paraId="207BE5B3">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株洲市芦淞区农业农村局</w:t>
      </w:r>
    </w:p>
    <w:p w14:paraId="67630624">
      <w:pPr>
        <w:keepNext w:val="0"/>
        <w:keepLines w:val="0"/>
        <w:pageBreakBefore w:val="0"/>
        <w:widowControl/>
        <w:kinsoku/>
        <w:wordWrap/>
        <w:overflowPunct/>
        <w:topLinePunct w:val="0"/>
        <w:bidi w:val="0"/>
        <w:spacing w:line="600" w:lineRule="exact"/>
        <w:ind w:firstLine="63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三、准予许可的条件</w:t>
      </w:r>
    </w:p>
    <w:p w14:paraId="7DFB9CDE">
      <w:pPr>
        <w:keepNext w:val="0"/>
        <w:keepLines w:val="0"/>
        <w:pageBreakBefore w:val="0"/>
        <w:kinsoku/>
        <w:wordWrap/>
        <w:overflowPunct/>
        <w:topLinePunct w:val="0"/>
        <w:bidi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（一）本行政许可事项获得批准应当具备下列条件：</w:t>
      </w:r>
    </w:p>
    <w:p w14:paraId="11331A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pP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1.兽药经营企业应建立与经营品种、经营规模相适应的质量管理机构或至少配备一名专职质量管理人员。质量管理人员应具有兽药、兽医等相关专业中专以上学历，或取得相关专业初级或以上技术职称，或取得执业兽医资格证书，具备相应的动物疾病诊疗、疫病防控和使用兽药等专业知识</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w:t>
      </w:r>
    </w:p>
    <w:p w14:paraId="3B9D30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pP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2.兽药质量管理人员不得在本企业以外的其他单位任职</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w:t>
      </w:r>
    </w:p>
    <w:p w14:paraId="506EDF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pP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3.兽药经营企业从事其他工作的人员，应当具有高中以上学历，并经兽药管理法律、法规和兽医、兽药知识培训</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w:t>
      </w:r>
    </w:p>
    <w:p w14:paraId="2F065C9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pP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4.</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兽药经营企业应当有固定独立的经营场所，经营场所面积应不小于20㎡</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w:t>
      </w:r>
    </w:p>
    <w:p w14:paraId="10C92F3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pP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5.</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经营地点应与《兽药经营许可证》载明的地点一致</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w:t>
      </w:r>
    </w:p>
    <w:p w14:paraId="1F06051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pP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6.</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兽药经营场所应有相应的办公设备,配备有专门用于兽药经营使用的办公电脑，有能满足所经营兽药能按照处方药、非处方药及兽药类别与兽药剂型分别陈列的货架、橱柜和柜台。</w:t>
      </w:r>
    </w:p>
    <w:p w14:paraId="16154A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pP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7.</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兽药经营企业应当有固定独立的兽药仓库，应设有常温仓库和阴凉仓库，总面积应不小于40㎡。</w:t>
      </w:r>
    </w:p>
    <w:p w14:paraId="5F09D6A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pP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8.</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兽药仓库应有照明、通风、避光、防潮、防尘、防污染、防虫鼠、防火和进行温、湿度监控的设施、设备。</w:t>
      </w:r>
    </w:p>
    <w:p w14:paraId="356A36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pPr>
      <w:r>
        <w:rPr>
          <w:rFonts w:hint="eastAsia" w:ascii="Times New Roman" w:hAnsi="Times New Roman" w:eastAsia="仿宋_GB2312" w:cs="Times New Roman"/>
          <w:sz w:val="32"/>
          <w:szCs w:val="32"/>
          <w:lang w:val="en-US" w:eastAsia="zh-CN"/>
        </w:rPr>
        <w:t>9.</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兽药经营企业应制定下列管理制度：（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1</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）企业员工岗位职责；（</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2</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）兽药采购管理制度；（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3</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）兽药验收、入库管理制度；（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4</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）兽药销售管理制度；（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5</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）兽药贮存保管制度；（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6</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）兽用生物制品停电时贮存应急措施。（</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7</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）仓库管理制度；（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8</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）兽药不良反应报告制度；（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9</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）兽药质量档案管理制度；（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10</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）经营设施、设备维护管理制度：（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11</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）企业员工培训制度；（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12</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）兽药经营质量承诺制度；（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13</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)质量投拆与质量事故处理制度；（</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14</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）记录与资料管理制度。</w:t>
      </w:r>
    </w:p>
    <w:p w14:paraId="3899F5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pP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10.</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兽药经营企业应当做好下列经营记录：（</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1</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）兽药采购记录；（</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2</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）兽药销售记录；（</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3</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）不合格兽药和退货兽药的处理记录；（</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4</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）兽医行政管理部门的监督检查情况记录；（</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5</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）仓库温、湿度监测记录；（</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6</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）冷冻柜、冷藏柜温度监测记录；（</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7</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）员工培训记录；（</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8</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）兽药质量档案；（</w:t>
      </w:r>
      <w:r>
        <w:rPr>
          <w:rStyle w:val="7"/>
          <w:rFonts w:hint="eastAsia" w:ascii="仿宋_GB2312" w:hAnsi="仿宋_GB2312" w:eastAsia="仿宋_GB2312" w:cs="仿宋_GB2312"/>
          <w:i w:val="0"/>
          <w:iCs w:val="0"/>
          <w:caps w:val="0"/>
          <w:color w:val="auto"/>
          <w:spacing w:val="0"/>
          <w:sz w:val="32"/>
          <w:szCs w:val="32"/>
          <w:u w:val="none"/>
          <w:shd w:val="clear" w:fill="FFFFFF"/>
          <w:lang w:val="en-US" w:eastAsia="zh-CN"/>
        </w:rPr>
        <w:t>9</w:t>
      </w:r>
      <w:r>
        <w:rPr>
          <w:rStyle w:val="7"/>
          <w:rFonts w:hint="default" w:ascii="仿宋_GB2312" w:hAnsi="仿宋_GB2312" w:eastAsia="仿宋_GB2312" w:cs="仿宋_GB2312"/>
          <w:i w:val="0"/>
          <w:iCs w:val="0"/>
          <w:caps w:val="0"/>
          <w:color w:val="auto"/>
          <w:spacing w:val="0"/>
          <w:sz w:val="32"/>
          <w:szCs w:val="32"/>
          <w:u w:val="none"/>
          <w:shd w:val="clear" w:fill="FFFFFF"/>
          <w:lang w:val="en-US" w:eastAsia="zh-CN"/>
        </w:rPr>
        <w:t>）兽药不良反应记录。</w:t>
      </w:r>
    </w:p>
    <w:p w14:paraId="4A850E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600" w:lineRule="exact"/>
        <w:ind w:right="0"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（二）应当提交的材料及期限：</w:t>
      </w:r>
    </w:p>
    <w:p w14:paraId="4E49985D">
      <w:pPr>
        <w:keepNext w:val="0"/>
        <w:keepLines w:val="0"/>
        <w:pageBreakBefore w:val="0"/>
        <w:kinsoku/>
        <w:wordWrap/>
        <w:overflowPunct/>
        <w:topLinePunct w:val="0"/>
        <w:bidi w:val="0"/>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1.兽药经营许可证申请表；</w:t>
      </w:r>
    </w:p>
    <w:p w14:paraId="3F8C08C8">
      <w:pPr>
        <w:keepNext w:val="0"/>
        <w:keepLines w:val="0"/>
        <w:pageBreakBefore w:val="0"/>
        <w:kinsoku/>
        <w:wordWrap/>
        <w:overflowPunct/>
        <w:topLinePunct w:val="0"/>
        <w:bidi w:val="0"/>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2.企业组织机构图；</w:t>
      </w:r>
    </w:p>
    <w:p w14:paraId="59600907">
      <w:pPr>
        <w:pStyle w:val="2"/>
        <w:keepNext w:val="0"/>
        <w:keepLines w:val="0"/>
        <w:pageBreakBefore w:val="0"/>
        <w:kinsoku/>
        <w:wordWrap/>
        <w:overflowPunct/>
        <w:topLinePunct w:val="0"/>
        <w:bidi w:val="0"/>
        <w:spacing w:after="0"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3.企业人员情况一览表；</w:t>
      </w:r>
    </w:p>
    <w:p w14:paraId="248B1159">
      <w:pPr>
        <w:pStyle w:val="2"/>
        <w:keepNext w:val="0"/>
        <w:keepLines w:val="0"/>
        <w:pageBreakBefore w:val="0"/>
        <w:kinsoku/>
        <w:wordWrap/>
        <w:overflowPunct/>
        <w:topLinePunct w:val="0"/>
        <w:bidi w:val="0"/>
        <w:spacing w:after="0"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default" w:ascii="仿宋_GB2312" w:hAnsi="仿宋_GB2312" w:eastAsia="仿宋_GB2312" w:cs="仿宋_GB2312"/>
          <w:color w:val="auto"/>
          <w:sz w:val="32"/>
          <w:szCs w:val="32"/>
          <w:lang w:val="en-US" w:eastAsia="zh-CN"/>
        </w:rPr>
        <w:t>劳务聘用合同</w:t>
      </w:r>
      <w:r>
        <w:rPr>
          <w:rFonts w:hint="eastAsia" w:ascii="仿宋_GB2312" w:hAnsi="仿宋_GB2312" w:eastAsia="仿宋_GB2312" w:cs="仿宋_GB2312"/>
          <w:color w:val="auto"/>
          <w:sz w:val="32"/>
          <w:szCs w:val="32"/>
          <w:lang w:val="en-US" w:eastAsia="zh-CN"/>
        </w:rPr>
        <w:t>；</w:t>
      </w:r>
    </w:p>
    <w:p w14:paraId="45B507B4">
      <w:pPr>
        <w:pStyle w:val="2"/>
        <w:keepNext w:val="0"/>
        <w:keepLines w:val="0"/>
        <w:pageBreakBefore w:val="0"/>
        <w:kinsoku/>
        <w:wordWrap/>
        <w:overflowPunct/>
        <w:topLinePunct w:val="0"/>
        <w:bidi w:val="0"/>
        <w:spacing w:after="0"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5.企业人员学历/资格证书</w:t>
      </w:r>
      <w:r>
        <w:rPr>
          <w:rFonts w:hint="eastAsia" w:ascii="仿宋_GB2312" w:hAnsi="仿宋_GB2312" w:eastAsia="仿宋_GB2312" w:cs="仿宋_GB2312"/>
          <w:sz w:val="32"/>
          <w:szCs w:val="32"/>
          <w:lang w:val="en-US" w:eastAsia="zh-CN"/>
        </w:rPr>
        <w:t>（复印件）</w:t>
      </w:r>
      <w:r>
        <w:rPr>
          <w:rFonts w:hint="eastAsia" w:ascii="仿宋_GB2312" w:hAnsi="仿宋_GB2312" w:eastAsia="仿宋_GB2312" w:cs="仿宋_GB2312"/>
          <w:color w:val="auto"/>
          <w:sz w:val="32"/>
          <w:szCs w:val="32"/>
          <w:lang w:val="en-US" w:eastAsia="zh-CN"/>
        </w:rPr>
        <w:t>；</w:t>
      </w:r>
    </w:p>
    <w:p w14:paraId="6E4824F1">
      <w:pPr>
        <w:pStyle w:val="2"/>
        <w:keepNext w:val="0"/>
        <w:keepLines w:val="0"/>
        <w:pageBreakBefore w:val="0"/>
        <w:kinsoku/>
        <w:wordWrap/>
        <w:overflowPunct/>
        <w:topLinePunct w:val="0"/>
        <w:bidi w:val="0"/>
        <w:spacing w:after="0"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6.企业经营设施设备情况表（包括兽药产品追溯设备）；</w:t>
      </w:r>
    </w:p>
    <w:p w14:paraId="250370F4">
      <w:pPr>
        <w:pStyle w:val="2"/>
        <w:keepNext w:val="0"/>
        <w:keepLines w:val="0"/>
        <w:pageBreakBefore w:val="0"/>
        <w:kinsoku/>
        <w:wordWrap/>
        <w:overflowPunct/>
        <w:topLinePunct w:val="0"/>
        <w:bidi w:val="0"/>
        <w:spacing w:after="0"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7.兽药经营场所室内平面图和各功能区布局图（标注面积）；</w:t>
      </w:r>
    </w:p>
    <w:p w14:paraId="57C18463">
      <w:pPr>
        <w:pStyle w:val="2"/>
        <w:keepNext w:val="0"/>
        <w:keepLines w:val="0"/>
        <w:pageBreakBefore w:val="0"/>
        <w:kinsoku/>
        <w:wordWrap/>
        <w:overflowPunct/>
        <w:topLinePunct w:val="0"/>
        <w:bidi w:val="0"/>
        <w:spacing w:after="0"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8.兽药质量管理制度；</w:t>
      </w:r>
    </w:p>
    <w:p w14:paraId="2F0B5519">
      <w:pPr>
        <w:pStyle w:val="2"/>
        <w:keepNext w:val="0"/>
        <w:keepLines w:val="0"/>
        <w:pageBreakBefore w:val="0"/>
        <w:kinsoku/>
        <w:wordWrap/>
        <w:overflowPunct/>
        <w:topLinePunct w:val="0"/>
        <w:bidi w:val="0"/>
        <w:spacing w:after="0"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9.兽药经营记录；</w:t>
      </w:r>
    </w:p>
    <w:p w14:paraId="581BC522">
      <w:pPr>
        <w:pStyle w:val="2"/>
        <w:keepNext w:val="0"/>
        <w:keepLines w:val="0"/>
        <w:pageBreakBefore w:val="0"/>
        <w:kinsoku/>
        <w:wordWrap/>
        <w:overflowPunct/>
        <w:topLinePunct w:val="0"/>
        <w:bidi w:val="0"/>
        <w:spacing w:after="0"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10.兽药经营企业销售的产品目录；</w:t>
      </w:r>
    </w:p>
    <w:p w14:paraId="2D11D361">
      <w:pPr>
        <w:pStyle w:val="2"/>
        <w:keepNext w:val="0"/>
        <w:keepLines w:val="0"/>
        <w:pageBreakBefore w:val="0"/>
        <w:kinsoku/>
        <w:wordWrap/>
        <w:overflowPunct/>
        <w:topLinePunct w:val="0"/>
        <w:bidi w:val="0"/>
        <w:spacing w:after="0"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11.兽药经营场所使用权证明</w:t>
      </w:r>
      <w:r>
        <w:rPr>
          <w:rFonts w:hint="eastAsia" w:ascii="仿宋_GB2312" w:hAnsi="仿宋_GB2312" w:eastAsia="仿宋_GB2312" w:cs="仿宋_GB2312"/>
          <w:sz w:val="32"/>
          <w:szCs w:val="32"/>
          <w:lang w:val="en-US" w:eastAsia="zh-CN"/>
        </w:rPr>
        <w:t>（复印件）</w:t>
      </w:r>
      <w:r>
        <w:rPr>
          <w:rFonts w:hint="eastAsia" w:ascii="仿宋_GB2312" w:hAnsi="仿宋_GB2312" w:eastAsia="仿宋_GB2312" w:cs="仿宋_GB2312"/>
          <w:color w:val="auto"/>
          <w:sz w:val="32"/>
          <w:szCs w:val="32"/>
          <w:lang w:val="en-US" w:eastAsia="zh-CN"/>
        </w:rPr>
        <w:t>；</w:t>
      </w:r>
    </w:p>
    <w:p w14:paraId="23C34305">
      <w:pPr>
        <w:pStyle w:val="2"/>
        <w:keepNext w:val="0"/>
        <w:keepLines w:val="0"/>
        <w:pageBreakBefore w:val="0"/>
        <w:kinsoku/>
        <w:wordWrap/>
        <w:overflowPunct/>
        <w:topLinePunct w:val="0"/>
        <w:bidi w:val="0"/>
        <w:spacing w:after="0" w:line="60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12.兽药生产厂家资料及授权书</w:t>
      </w:r>
      <w:r>
        <w:rPr>
          <w:rFonts w:hint="eastAsia" w:ascii="仿宋_GB2312" w:hAnsi="仿宋_GB2312" w:eastAsia="仿宋_GB2312" w:cs="仿宋_GB2312"/>
          <w:sz w:val="32"/>
          <w:szCs w:val="32"/>
          <w:lang w:val="en-US" w:eastAsia="zh-CN"/>
        </w:rPr>
        <w:t>（复印件）</w:t>
      </w:r>
      <w:r>
        <w:rPr>
          <w:rFonts w:hint="eastAsia" w:ascii="仿宋_GB2312" w:hAnsi="仿宋_GB2312" w:eastAsia="仿宋_GB2312" w:cs="仿宋_GB2312"/>
          <w:color w:val="auto"/>
          <w:sz w:val="32"/>
          <w:szCs w:val="32"/>
          <w:lang w:val="en-US" w:eastAsia="zh-CN"/>
        </w:rPr>
        <w:t>；</w:t>
      </w:r>
    </w:p>
    <w:p w14:paraId="7D5C8000">
      <w:pPr>
        <w:pStyle w:val="2"/>
        <w:keepNext w:val="0"/>
        <w:keepLines w:val="0"/>
        <w:pageBreakBefore w:val="0"/>
        <w:kinsoku/>
        <w:wordWrap/>
        <w:overflowPunct/>
        <w:topLinePunct w:val="0"/>
        <w:bidi w:val="0"/>
        <w:spacing w:after="0" w:line="600" w:lineRule="exact"/>
        <w:ind w:firstLine="640"/>
        <w:textAlignment w:val="auto"/>
        <w:rPr>
          <w:rFonts w:ascii="Times New Roman" w:hAnsi="Times New Roman" w:eastAsia="仿宋_GB2312" w:cs="Times New Roman"/>
          <w:color w:val="FF0000"/>
          <w:sz w:val="32"/>
          <w:szCs w:val="32"/>
        </w:rPr>
      </w:pPr>
      <w:r>
        <w:rPr>
          <w:rFonts w:hint="eastAsia" w:ascii="仿宋_GB2312" w:hAnsi="仿宋_GB2312" w:eastAsia="仿宋_GB2312" w:cs="仿宋_GB2312"/>
          <w:color w:val="auto"/>
          <w:sz w:val="32"/>
          <w:szCs w:val="32"/>
          <w:lang w:val="en-US" w:eastAsia="zh-CN"/>
        </w:rPr>
        <w:t>13.</w:t>
      </w:r>
      <w:r>
        <w:rPr>
          <w:rFonts w:hint="default" w:ascii="仿宋_GB2312" w:hAnsi="仿宋_GB2312" w:eastAsia="仿宋_GB2312" w:cs="仿宋_GB2312"/>
          <w:color w:val="auto"/>
          <w:sz w:val="32"/>
          <w:szCs w:val="32"/>
          <w:lang w:val="en-US" w:eastAsia="zh-CN"/>
        </w:rPr>
        <w:t>营业执照</w:t>
      </w:r>
      <w:r>
        <w:rPr>
          <w:rFonts w:hint="eastAsia" w:ascii="仿宋_GB2312" w:hAnsi="仿宋_GB2312" w:eastAsia="仿宋_GB2312" w:cs="仿宋_GB2312"/>
          <w:color w:val="auto"/>
          <w:sz w:val="32"/>
          <w:szCs w:val="32"/>
          <w:lang w:val="en-US" w:eastAsia="zh-CN"/>
        </w:rPr>
        <w:t>正本</w:t>
      </w:r>
      <w:r>
        <w:rPr>
          <w:rFonts w:hint="eastAsia" w:ascii="仿宋_GB2312" w:hAnsi="仿宋_GB2312" w:eastAsia="仿宋_GB2312" w:cs="仿宋_GB2312"/>
          <w:sz w:val="32"/>
          <w:szCs w:val="32"/>
          <w:lang w:val="en-US" w:eastAsia="zh-CN"/>
        </w:rPr>
        <w:t>（复印件）</w:t>
      </w:r>
      <w:r>
        <w:rPr>
          <w:rFonts w:hint="eastAsia" w:ascii="仿宋_GB2312" w:hAnsi="仿宋_GB2312" w:eastAsia="仿宋_GB2312" w:cs="仿宋_GB2312"/>
          <w:color w:val="auto"/>
          <w:sz w:val="32"/>
          <w:szCs w:val="32"/>
          <w:lang w:val="en-US" w:eastAsia="zh-CN"/>
        </w:rPr>
        <w:t>。</w:t>
      </w:r>
    </w:p>
    <w:p w14:paraId="1B79A1D5">
      <w:pPr>
        <w:keepNext w:val="0"/>
        <w:keepLines w:val="0"/>
        <w:pageBreakBefore w:val="0"/>
        <w:kinsoku/>
        <w:wordWrap/>
        <w:overflowPunct/>
        <w:topLinePunct w:val="0"/>
        <w:bidi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上述材料，申请人应当：</w:t>
      </w:r>
    </w:p>
    <w:p w14:paraId="21975C8B">
      <w:pPr>
        <w:keepNext w:val="0"/>
        <w:keepLines w:val="0"/>
        <w:pageBreakBefore w:val="0"/>
        <w:kinsoku/>
        <w:wordWrap/>
        <w:overflowPunct/>
        <w:topLinePunct w:val="0"/>
        <w:bidi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sym w:font="Wingdings 2" w:char="00A3"/>
      </w:r>
      <w:r>
        <w:rPr>
          <w:rFonts w:hint="default" w:ascii="Times New Roman" w:hAnsi="Times New Roman" w:eastAsia="仿宋_GB2312" w:cs="Times New Roman"/>
          <w:color w:val="auto"/>
          <w:sz w:val="32"/>
          <w:szCs w:val="32"/>
        </w:rPr>
        <w:t>在</w:t>
      </w:r>
      <w:r>
        <w:rPr>
          <w:rFonts w:hint="eastAsia" w:ascii="Times New Roman" w:hAnsi="Times New Roman" w:eastAsia="仿宋_GB2312" w:cs="Times New Roman"/>
          <w:color w:val="auto"/>
          <w:sz w:val="32"/>
          <w:szCs w:val="32"/>
          <w:u w:val="single"/>
          <w:lang w:val="en-US" w:eastAsia="zh-CN"/>
        </w:rPr>
        <w:t>5</w:t>
      </w:r>
      <w:r>
        <w:rPr>
          <w:rFonts w:hint="default" w:ascii="Times New Roman" w:hAnsi="Times New Roman" w:eastAsia="仿宋_GB2312" w:cs="Times New Roman"/>
          <w:color w:val="auto"/>
          <w:sz w:val="32"/>
          <w:szCs w:val="32"/>
        </w:rPr>
        <w:t>个工作日内提交“应当提交的材料”中的第</w:t>
      </w:r>
      <w:r>
        <w:rPr>
          <w:rFonts w:hint="eastAsia" w:ascii="Times New Roman" w:hAnsi="Times New Roman" w:eastAsia="仿宋_GB2312" w:cs="Times New Roman"/>
          <w:color w:val="auto"/>
          <w:sz w:val="32"/>
          <w:szCs w:val="32"/>
          <w:u w:val="single"/>
          <w:lang w:val="en-US" w:eastAsia="zh-CN"/>
        </w:rPr>
        <w:t>2</w:t>
      </w:r>
      <w:r>
        <w:rPr>
          <w:rFonts w:hint="default" w:ascii="Times New Roman" w:hAnsi="Times New Roman" w:eastAsia="仿宋_GB2312" w:cs="Times New Roman"/>
          <w:color w:val="auto"/>
          <w:sz w:val="32"/>
          <w:szCs w:val="32"/>
        </w:rPr>
        <w:t>项、第</w:t>
      </w:r>
      <w:r>
        <w:rPr>
          <w:rFonts w:hint="eastAsia" w:ascii="Times New Roman" w:hAnsi="Times New Roman" w:eastAsia="仿宋_GB2312" w:cs="Times New Roman"/>
          <w:color w:val="auto"/>
          <w:sz w:val="32"/>
          <w:szCs w:val="32"/>
          <w:u w:val="single"/>
          <w:lang w:val="en-US" w:eastAsia="zh-CN"/>
        </w:rPr>
        <w:t>4</w:t>
      </w:r>
      <w:r>
        <w:rPr>
          <w:rFonts w:hint="default" w:ascii="Times New Roman" w:hAnsi="Times New Roman" w:eastAsia="仿宋_GB2312" w:cs="Times New Roman"/>
          <w:color w:val="auto"/>
          <w:sz w:val="32"/>
          <w:szCs w:val="32"/>
        </w:rPr>
        <w:t>项</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ascii="Times New Roman" w:hAnsi="Times New Roman" w:eastAsia="仿宋_GB2312" w:cs="Times New Roman"/>
          <w:color w:val="auto"/>
          <w:sz w:val="32"/>
          <w:szCs w:val="32"/>
          <w:u w:val="single"/>
          <w:lang w:val="en-US" w:eastAsia="zh-CN"/>
        </w:rPr>
        <w:t>6</w:t>
      </w:r>
      <w:r>
        <w:rPr>
          <w:rFonts w:hint="default" w:ascii="Times New Roman" w:hAnsi="Times New Roman" w:eastAsia="仿宋_GB2312" w:cs="Times New Roman"/>
          <w:color w:val="auto"/>
          <w:sz w:val="32"/>
          <w:szCs w:val="32"/>
        </w:rPr>
        <w:t>项</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ascii="Times New Roman" w:hAnsi="Times New Roman" w:eastAsia="仿宋_GB2312" w:cs="Times New Roman"/>
          <w:color w:val="auto"/>
          <w:sz w:val="32"/>
          <w:szCs w:val="32"/>
          <w:u w:val="single"/>
          <w:lang w:val="en-US" w:eastAsia="zh-CN"/>
        </w:rPr>
        <w:t>7</w:t>
      </w:r>
      <w:r>
        <w:rPr>
          <w:rFonts w:hint="default" w:ascii="Times New Roman" w:hAnsi="Times New Roman" w:eastAsia="仿宋_GB2312" w:cs="Times New Roman"/>
          <w:color w:val="auto"/>
          <w:sz w:val="32"/>
          <w:szCs w:val="32"/>
        </w:rPr>
        <w:t>项</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ascii="Times New Roman" w:hAnsi="Times New Roman" w:eastAsia="仿宋_GB2312" w:cs="Times New Roman"/>
          <w:color w:val="auto"/>
          <w:sz w:val="32"/>
          <w:szCs w:val="32"/>
          <w:u w:val="single"/>
          <w:lang w:val="en-US" w:eastAsia="zh-CN"/>
        </w:rPr>
        <w:t>9</w:t>
      </w:r>
      <w:r>
        <w:rPr>
          <w:rFonts w:hint="default" w:ascii="Times New Roman" w:hAnsi="Times New Roman" w:eastAsia="仿宋_GB2312" w:cs="Times New Roman"/>
          <w:color w:val="auto"/>
          <w:sz w:val="32"/>
          <w:szCs w:val="32"/>
        </w:rPr>
        <w:t>项</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ascii="Times New Roman" w:hAnsi="Times New Roman" w:eastAsia="仿宋_GB2312" w:cs="Times New Roman"/>
          <w:color w:val="auto"/>
          <w:sz w:val="32"/>
          <w:szCs w:val="32"/>
          <w:u w:val="single"/>
          <w:lang w:val="en-US" w:eastAsia="zh-CN"/>
        </w:rPr>
        <w:t>11</w:t>
      </w:r>
      <w:r>
        <w:rPr>
          <w:rFonts w:hint="default" w:ascii="Times New Roman" w:hAnsi="Times New Roman" w:eastAsia="仿宋_GB2312" w:cs="Times New Roman"/>
          <w:color w:val="auto"/>
          <w:sz w:val="32"/>
          <w:szCs w:val="32"/>
        </w:rPr>
        <w:t>项。</w:t>
      </w:r>
    </w:p>
    <w:p w14:paraId="4FBB3270">
      <w:pPr>
        <w:keepNext w:val="0"/>
        <w:keepLines w:val="0"/>
        <w:pageBreakBefore w:val="0"/>
        <w:kinsoku/>
        <w:wordWrap/>
        <w:overflowPunct/>
        <w:topLinePunct w:val="0"/>
        <w:bidi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sym w:font="Wingdings 2" w:char="00A3"/>
      </w:r>
      <w:r>
        <w:rPr>
          <w:rFonts w:hint="default" w:ascii="Times New Roman" w:hAnsi="Times New Roman" w:eastAsia="仿宋_GB2312" w:cs="Times New Roman"/>
          <w:color w:val="auto"/>
          <w:sz w:val="32"/>
          <w:szCs w:val="32"/>
        </w:rPr>
        <w:t>在行政机关对申请人自愿承诺的内容是否属实进行检查时提交：上述“应当提交的材料”中的第</w:t>
      </w:r>
      <w:r>
        <w:rPr>
          <w:rFonts w:hint="eastAsia" w:ascii="Times New Roman" w:hAnsi="Times New Roman" w:eastAsia="仿宋_GB2312" w:cs="Times New Roman"/>
          <w:color w:val="auto"/>
          <w:sz w:val="32"/>
          <w:szCs w:val="32"/>
          <w:u w:val="single"/>
          <w:lang w:val="en-US" w:eastAsia="zh-CN"/>
        </w:rPr>
        <w:t>6</w:t>
      </w:r>
      <w:r>
        <w:rPr>
          <w:rFonts w:hint="default" w:ascii="Times New Roman" w:hAnsi="Times New Roman" w:eastAsia="仿宋_GB2312" w:cs="Times New Roman"/>
          <w:color w:val="auto"/>
          <w:sz w:val="32"/>
          <w:szCs w:val="32"/>
        </w:rPr>
        <w:t>项</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ascii="Times New Roman" w:hAnsi="Times New Roman" w:eastAsia="仿宋_GB2312" w:cs="Times New Roman"/>
          <w:color w:val="auto"/>
          <w:sz w:val="32"/>
          <w:szCs w:val="32"/>
          <w:u w:val="single"/>
          <w:lang w:val="en-US" w:eastAsia="zh-CN"/>
        </w:rPr>
        <w:t>7</w:t>
      </w:r>
      <w:r>
        <w:rPr>
          <w:rFonts w:hint="default" w:ascii="Times New Roman" w:hAnsi="Times New Roman" w:eastAsia="仿宋_GB2312" w:cs="Times New Roman"/>
          <w:color w:val="auto"/>
          <w:sz w:val="32"/>
          <w:szCs w:val="32"/>
        </w:rPr>
        <w:t>项</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ascii="Times New Roman" w:hAnsi="Times New Roman" w:eastAsia="仿宋_GB2312" w:cs="Times New Roman"/>
          <w:color w:val="auto"/>
          <w:sz w:val="32"/>
          <w:szCs w:val="32"/>
          <w:u w:val="single"/>
          <w:lang w:val="en-US" w:eastAsia="zh-CN"/>
        </w:rPr>
        <w:t>9</w:t>
      </w:r>
      <w:r>
        <w:rPr>
          <w:rFonts w:hint="default" w:ascii="Times New Roman" w:hAnsi="Times New Roman" w:eastAsia="仿宋_GB2312" w:cs="Times New Roman"/>
          <w:color w:val="auto"/>
          <w:sz w:val="32"/>
          <w:szCs w:val="32"/>
        </w:rPr>
        <w:t>项</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ascii="Times New Roman" w:hAnsi="Times New Roman" w:eastAsia="仿宋_GB2312" w:cs="Times New Roman"/>
          <w:color w:val="auto"/>
          <w:sz w:val="32"/>
          <w:szCs w:val="32"/>
          <w:u w:val="single"/>
          <w:lang w:val="en-US" w:eastAsia="zh-CN"/>
        </w:rPr>
        <w:t>11</w:t>
      </w:r>
      <w:r>
        <w:rPr>
          <w:rFonts w:hint="default" w:ascii="Times New Roman" w:hAnsi="Times New Roman" w:eastAsia="仿宋_GB2312" w:cs="Times New Roman"/>
          <w:color w:val="auto"/>
          <w:sz w:val="32"/>
          <w:szCs w:val="32"/>
        </w:rPr>
        <w:t>项。</w:t>
      </w:r>
    </w:p>
    <w:p w14:paraId="05CC35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color w:val="auto"/>
          <w:kern w:val="0"/>
          <w:sz w:val="32"/>
          <w:szCs w:val="32"/>
        </w:rPr>
      </w:pPr>
      <w:r>
        <w:rPr>
          <w:rFonts w:hint="default" w:ascii="Times New Roman" w:hAnsi="Times New Roman" w:eastAsia="楷体_GB2312" w:cs="Times New Roman"/>
          <w:color w:val="auto"/>
          <w:kern w:val="0"/>
          <w:sz w:val="32"/>
          <w:szCs w:val="32"/>
        </w:rPr>
        <w:t>（注：以上由受理人员填写）</w:t>
      </w:r>
    </w:p>
    <w:p w14:paraId="5D7D0AE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四、承诺的效力</w:t>
      </w:r>
    </w:p>
    <w:p w14:paraId="758E08A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申请人作出符合许可条件的承诺，并提交</w:t>
      </w:r>
      <w:r>
        <w:rPr>
          <w:rFonts w:hint="eastAsia" w:ascii="Times New Roman" w:hAnsi="Times New Roman" w:eastAsia="仿宋_GB2312" w:cs="Times New Roman"/>
          <w:color w:val="auto"/>
          <w:sz w:val="32"/>
          <w:szCs w:val="32"/>
          <w:lang w:val="en-US" w:eastAsia="zh-CN"/>
        </w:rPr>
        <w:t>签字盖</w:t>
      </w:r>
      <w:r>
        <w:rPr>
          <w:rFonts w:hint="default" w:ascii="Times New Roman" w:hAnsi="Times New Roman" w:eastAsia="仿宋_GB2312" w:cs="Times New Roman"/>
          <w:color w:val="auto"/>
          <w:sz w:val="32"/>
          <w:szCs w:val="32"/>
        </w:rPr>
        <w:t>章的承诺书后，行政机</w:t>
      </w:r>
      <w:r>
        <w:rPr>
          <w:rFonts w:hint="eastAsia" w:ascii="Times New Roman" w:hAnsi="Times New Roman" w:eastAsia="仿宋_GB2312" w:cs="Times New Roman"/>
          <w:color w:val="auto"/>
          <w:sz w:val="32"/>
          <w:szCs w:val="32"/>
          <w:lang w:val="en-US" w:eastAsia="zh-CN"/>
        </w:rPr>
        <w:t>关</w:t>
      </w:r>
      <w:r>
        <w:rPr>
          <w:rFonts w:hint="default" w:ascii="Times New Roman" w:hAnsi="Times New Roman" w:eastAsia="仿宋_GB2312" w:cs="Times New Roman"/>
          <w:color w:val="auto"/>
          <w:sz w:val="32"/>
          <w:szCs w:val="32"/>
        </w:rPr>
        <w:t>应当</w:t>
      </w:r>
      <w:r>
        <w:rPr>
          <w:rFonts w:hint="eastAsia" w:ascii="Times New Roman" w:hAnsi="Times New Roman" w:eastAsia="仿宋_GB2312" w:cs="Times New Roman"/>
          <w:color w:val="auto"/>
          <w:sz w:val="32"/>
          <w:szCs w:val="32"/>
          <w:lang w:val="en-US" w:eastAsia="zh-CN"/>
        </w:rPr>
        <w:t>当</w:t>
      </w:r>
      <w:r>
        <w:rPr>
          <w:rFonts w:hint="default" w:ascii="Times New Roman" w:hAnsi="Times New Roman" w:eastAsia="仿宋_GB2312" w:cs="Times New Roman"/>
          <w:color w:val="auto"/>
          <w:sz w:val="32"/>
          <w:szCs w:val="32"/>
        </w:rPr>
        <w:t>场作出行政许可决定。</w:t>
      </w:r>
    </w:p>
    <w:p w14:paraId="7D9FB6F6">
      <w:pPr>
        <w:keepNext w:val="0"/>
        <w:keepLines w:val="0"/>
        <w:pageBreakBefore w:val="0"/>
        <w:kinsoku/>
        <w:wordWrap/>
        <w:overflowPunct/>
        <w:topLinePunct w:val="0"/>
        <w:bidi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申请人承诺已具备经营许可条件的，领证后即可开展经营；申请人尚不具备经营许可条件，但承诺领证后一定期限内具备的，达到经营许可条件并按要求补齐材料后，方可开展经营。</w:t>
      </w:r>
    </w:p>
    <w:p w14:paraId="5B25021C">
      <w:pPr>
        <w:keepNext w:val="0"/>
        <w:keepLines w:val="0"/>
        <w:pageBreakBefore w:val="0"/>
        <w:widowControl/>
        <w:kinsoku/>
        <w:wordWrap/>
        <w:overflowPunct/>
        <w:topLinePunct w:val="0"/>
        <w:bidi w:val="0"/>
        <w:spacing w:line="600" w:lineRule="exact"/>
        <w:ind w:firstLine="63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五、承诺的方式</w:t>
      </w:r>
    </w:p>
    <w:p w14:paraId="3DF2E5FA">
      <w:pPr>
        <w:keepNext w:val="0"/>
        <w:keepLines w:val="0"/>
        <w:pageBreakBefore w:val="0"/>
        <w:kinsoku/>
        <w:wordWrap/>
        <w:overflowPunct/>
        <w:topLinePunct w:val="0"/>
        <w:bidi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本行政许可事项采用书面承诺方式，申请人愿意作出承诺的，应当向行政机关提交本人或委托代理人签字后的承诺书原件。委托办理的，申请人应签署委托代理书。</w:t>
      </w:r>
    </w:p>
    <w:p w14:paraId="2372A0CA">
      <w:pPr>
        <w:keepNext w:val="0"/>
        <w:keepLines w:val="0"/>
        <w:pageBreakBefore w:val="0"/>
        <w:widowControl/>
        <w:kinsoku/>
        <w:wordWrap/>
        <w:overflowPunct/>
        <w:topLinePunct w:val="0"/>
        <w:bidi w:val="0"/>
        <w:spacing w:line="600" w:lineRule="exact"/>
        <w:ind w:firstLine="63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六、不实承诺的责任</w:t>
      </w:r>
    </w:p>
    <w:p w14:paraId="38555071">
      <w:pPr>
        <w:keepNext w:val="0"/>
        <w:keepLines w:val="0"/>
        <w:pageBreakBefore w:val="0"/>
        <w:kinsoku/>
        <w:wordWrap/>
        <w:overflowPunct/>
        <w:topLinePunct w:val="0"/>
        <w:bidi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14:paraId="28F46AED">
      <w:pPr>
        <w:keepNext w:val="0"/>
        <w:keepLines w:val="0"/>
        <w:pageBreakBefore w:val="0"/>
        <w:widowControl/>
        <w:kinsoku/>
        <w:wordWrap/>
        <w:overflowPunct/>
        <w:topLinePunct w:val="0"/>
        <w:bidi w:val="0"/>
        <w:spacing w:line="600" w:lineRule="exact"/>
        <w:ind w:firstLine="63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七、行政机关核查权力</w:t>
      </w:r>
    </w:p>
    <w:p w14:paraId="4CC9791F">
      <w:pPr>
        <w:keepNext w:val="0"/>
        <w:keepLines w:val="0"/>
        <w:pageBreakBefore w:val="0"/>
        <w:kinsoku/>
        <w:wordWrap/>
        <w:overflowPunct/>
        <w:topLinePunct w:val="0"/>
        <w:autoSpaceDE/>
        <w:autoSpaceDN/>
        <w:bidi w:val="0"/>
        <w:spacing w:line="600" w:lineRule="exact"/>
        <w:ind w:firstLine="640" w:firstLineChars="200"/>
        <w:textAlignment w:val="auto"/>
        <w:rPr>
          <w:rFonts w:ascii="仿宋_GB2312" w:eastAsia="仿宋_GB2312"/>
          <w:color w:val="auto"/>
          <w:sz w:val="32"/>
          <w:szCs w:val="32"/>
        </w:rPr>
      </w:pPr>
      <w:r>
        <w:rPr>
          <w:rFonts w:hint="eastAsia" w:ascii="仿宋" w:hAnsi="仿宋" w:eastAsia="仿宋" w:cs="仿宋"/>
          <w:color w:val="auto"/>
          <w:sz w:val="32"/>
          <w:szCs w:val="22"/>
          <w:lang w:val="en-US" w:eastAsia="zh-CN" w:bidi="ar-SA"/>
        </w:rPr>
        <w:t>1.</w:t>
      </w:r>
      <w:r>
        <w:rPr>
          <w:rFonts w:hint="eastAsia" w:ascii="仿宋_GB2312" w:eastAsia="仿宋_GB2312"/>
          <w:color w:val="auto"/>
          <w:sz w:val="32"/>
          <w:szCs w:val="32"/>
        </w:rPr>
        <w:t>针对实行告知承诺程序核发的兽药经营许可证，在作出准予行政审批决定后</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个月内，由</w:t>
      </w:r>
      <w:r>
        <w:rPr>
          <w:rFonts w:hint="eastAsia" w:ascii="仿宋_GB2312" w:eastAsia="仿宋_GB2312"/>
          <w:color w:val="auto"/>
          <w:sz w:val="32"/>
          <w:szCs w:val="32"/>
          <w:lang w:eastAsia="zh-CN"/>
        </w:rPr>
        <w:t>行政审批部门和执法部门</w:t>
      </w:r>
      <w:r>
        <w:rPr>
          <w:rFonts w:hint="eastAsia" w:ascii="仿宋_GB2312" w:eastAsia="仿宋_GB2312"/>
          <w:color w:val="auto"/>
          <w:sz w:val="32"/>
          <w:szCs w:val="32"/>
        </w:rPr>
        <w:t>结合“双随机</w:t>
      </w:r>
      <w:r>
        <w:rPr>
          <w:rFonts w:hint="eastAsia" w:ascii="仿宋_GB2312" w:eastAsia="仿宋_GB2312"/>
          <w:color w:val="auto"/>
          <w:sz w:val="32"/>
          <w:szCs w:val="32"/>
          <w:lang w:eastAsia="zh-CN"/>
        </w:rPr>
        <w:t>、</w:t>
      </w:r>
      <w:bookmarkStart w:id="0" w:name="_GoBack"/>
      <w:bookmarkEnd w:id="0"/>
      <w:r>
        <w:rPr>
          <w:rFonts w:ascii="仿宋_GB2312" w:eastAsia="仿宋_GB2312"/>
          <w:color w:val="auto"/>
          <w:sz w:val="32"/>
          <w:szCs w:val="32"/>
        </w:rPr>
        <w:t>一公开</w:t>
      </w:r>
      <w:r>
        <w:rPr>
          <w:rFonts w:hint="eastAsia" w:ascii="仿宋_GB2312" w:eastAsia="仿宋_GB2312"/>
          <w:color w:val="auto"/>
          <w:sz w:val="32"/>
          <w:szCs w:val="32"/>
        </w:rPr>
        <w:t>”要求</w:t>
      </w:r>
      <w:r>
        <w:rPr>
          <w:rFonts w:ascii="仿宋_GB2312" w:eastAsia="仿宋_GB2312"/>
          <w:color w:val="auto"/>
          <w:sz w:val="32"/>
          <w:szCs w:val="32"/>
        </w:rPr>
        <w:t>，</w:t>
      </w:r>
      <w:r>
        <w:rPr>
          <w:rFonts w:hint="eastAsia" w:ascii="仿宋_GB2312" w:eastAsia="仿宋_GB2312"/>
          <w:color w:val="auto"/>
          <w:sz w:val="32"/>
          <w:szCs w:val="32"/>
        </w:rPr>
        <w:t>对被审批企业承诺内容是否属实进行全覆盖核查。发现被审批企业实际情况与承诺内容不符的，责令其限期整改;逾期拒不整改或整改后仍不符合条件的，依法撤销行政审批决定。</w:t>
      </w:r>
    </w:p>
    <w:p w14:paraId="0536A8F3">
      <w:pPr>
        <w:keepNext w:val="0"/>
        <w:keepLines w:val="0"/>
        <w:pageBreakBefore w:val="0"/>
        <w:widowControl/>
        <w:kinsoku/>
        <w:wordWrap/>
        <w:overflowPunct/>
        <w:topLinePunct w:val="0"/>
        <w:autoSpaceDE/>
        <w:autoSpaceDN/>
        <w:bidi w:val="0"/>
        <w:adjustRightInd w:val="0"/>
        <w:snapToGrid w:val="0"/>
        <w:spacing w:line="600" w:lineRule="exact"/>
        <w:ind w:rightChars="0" w:firstLine="640" w:firstLineChars="200"/>
        <w:jc w:val="both"/>
        <w:textAlignment w:val="auto"/>
        <w:rPr>
          <w:rFonts w:hint="eastAsia" w:ascii="仿宋_GB2312" w:hAnsi="仿宋_GB2312" w:eastAsia="仿宋_GB2312" w:cs="仿宋_GB2312"/>
          <w:color w:val="auto"/>
          <w:sz w:val="32"/>
          <w:szCs w:val="22"/>
          <w:lang w:val="en-US" w:eastAsia="zh-CN" w:bidi="ar-SA"/>
        </w:rPr>
      </w:pPr>
      <w:r>
        <w:rPr>
          <w:rFonts w:hint="eastAsia" w:ascii="仿宋_GB2312" w:eastAsia="仿宋_GB2312"/>
          <w:color w:val="auto"/>
          <w:sz w:val="32"/>
          <w:szCs w:val="32"/>
          <w:lang w:val="en-US" w:eastAsia="zh-CN"/>
        </w:rPr>
        <w:t>2.</w:t>
      </w:r>
      <w:r>
        <w:rPr>
          <w:rFonts w:hint="eastAsia" w:ascii="仿宋_GB2312" w:hAnsi="仿宋_GB2312" w:eastAsia="仿宋_GB2312" w:cs="仿宋_GB2312"/>
          <w:color w:val="auto"/>
          <w:sz w:val="32"/>
          <w:szCs w:val="22"/>
          <w:lang w:val="en-US" w:eastAsia="zh-CN" w:bidi="ar-SA"/>
        </w:rPr>
        <w:t>行政审批部门对被审批人从事兽药经营活动加强监督检查，发现被审批人有违法行为的，应当依法及时作出处理。</w:t>
      </w:r>
    </w:p>
    <w:p w14:paraId="3EEE99E0">
      <w:pPr>
        <w:keepNext w:val="0"/>
        <w:keepLines w:val="0"/>
        <w:pageBreakBefore w:val="0"/>
        <w:kinsoku/>
        <w:wordWrap/>
        <w:overflowPunct/>
        <w:topLinePunct w:val="0"/>
        <w:bidi w:val="0"/>
        <w:spacing w:line="600" w:lineRule="exact"/>
        <w:textAlignment w:val="auto"/>
      </w:pPr>
    </w:p>
    <w:p w14:paraId="35BE4CCF">
      <w:pPr>
        <w:pStyle w:val="2"/>
        <w:keepNext w:val="0"/>
        <w:keepLines w:val="0"/>
        <w:pageBreakBefore w:val="0"/>
        <w:kinsoku/>
        <w:wordWrap/>
        <w:overflowPunct/>
        <w:topLinePunct w:val="0"/>
        <w:bidi w:val="0"/>
        <w:spacing w:after="0" w:line="600" w:lineRule="exact"/>
        <w:textAlignment w:val="auto"/>
      </w:pPr>
    </w:p>
    <w:p w14:paraId="6D326AC0">
      <w:pPr>
        <w:pStyle w:val="2"/>
        <w:keepNext w:val="0"/>
        <w:keepLines w:val="0"/>
        <w:pageBreakBefore w:val="0"/>
        <w:kinsoku/>
        <w:wordWrap/>
        <w:overflowPunct/>
        <w:topLinePunct w:val="0"/>
        <w:bidi w:val="0"/>
        <w:spacing w:after="0" w:line="600" w:lineRule="exact"/>
        <w:textAlignment w:val="auto"/>
      </w:pPr>
    </w:p>
    <w:p w14:paraId="5C113506">
      <w:pPr>
        <w:pStyle w:val="2"/>
        <w:keepNext w:val="0"/>
        <w:keepLines w:val="0"/>
        <w:pageBreakBefore w:val="0"/>
        <w:kinsoku/>
        <w:wordWrap/>
        <w:overflowPunct/>
        <w:topLinePunct w:val="0"/>
        <w:bidi w:val="0"/>
        <w:spacing w:after="0" w:line="600" w:lineRule="exact"/>
        <w:textAlignment w:val="auto"/>
      </w:pPr>
    </w:p>
    <w:p w14:paraId="0108FA86">
      <w:pPr>
        <w:pStyle w:val="2"/>
        <w:keepNext w:val="0"/>
        <w:keepLines w:val="0"/>
        <w:pageBreakBefore w:val="0"/>
        <w:kinsoku/>
        <w:wordWrap/>
        <w:overflowPunct/>
        <w:topLinePunct w:val="0"/>
        <w:bidi w:val="0"/>
        <w:spacing w:after="0" w:line="600" w:lineRule="exact"/>
        <w:textAlignment w:val="auto"/>
      </w:pPr>
    </w:p>
    <w:p w14:paraId="5CF65B39">
      <w:pPr>
        <w:pStyle w:val="2"/>
        <w:keepNext w:val="0"/>
        <w:keepLines w:val="0"/>
        <w:pageBreakBefore w:val="0"/>
        <w:kinsoku/>
        <w:wordWrap/>
        <w:overflowPunct/>
        <w:topLinePunct w:val="0"/>
        <w:bidi w:val="0"/>
        <w:spacing w:after="0" w:line="600" w:lineRule="exact"/>
        <w:textAlignment w:val="auto"/>
      </w:pPr>
    </w:p>
    <w:p w14:paraId="47F9FB9D">
      <w:pPr>
        <w:pStyle w:val="2"/>
        <w:keepNext w:val="0"/>
        <w:keepLines w:val="0"/>
        <w:pageBreakBefore w:val="0"/>
        <w:kinsoku/>
        <w:wordWrap/>
        <w:overflowPunct/>
        <w:topLinePunct w:val="0"/>
        <w:bidi w:val="0"/>
        <w:spacing w:after="0" w:line="600" w:lineRule="exact"/>
        <w:textAlignment w:val="auto"/>
      </w:pPr>
    </w:p>
    <w:p w14:paraId="05864110">
      <w:pPr>
        <w:pStyle w:val="2"/>
        <w:keepNext w:val="0"/>
        <w:keepLines w:val="0"/>
        <w:pageBreakBefore w:val="0"/>
        <w:kinsoku/>
        <w:wordWrap/>
        <w:overflowPunct/>
        <w:topLinePunct w:val="0"/>
        <w:bidi w:val="0"/>
        <w:spacing w:after="0" w:line="600" w:lineRule="exact"/>
        <w:textAlignment w:val="auto"/>
      </w:pPr>
    </w:p>
    <w:p w14:paraId="01F07A5A">
      <w:pPr>
        <w:pStyle w:val="2"/>
        <w:keepNext w:val="0"/>
        <w:keepLines w:val="0"/>
        <w:pageBreakBefore w:val="0"/>
        <w:kinsoku/>
        <w:wordWrap/>
        <w:overflowPunct/>
        <w:topLinePunct w:val="0"/>
        <w:bidi w:val="0"/>
        <w:spacing w:after="0" w:line="600" w:lineRule="exact"/>
        <w:textAlignment w:val="auto"/>
      </w:pPr>
    </w:p>
    <w:p w14:paraId="2FDC9327">
      <w:pPr>
        <w:pStyle w:val="2"/>
        <w:keepNext w:val="0"/>
        <w:keepLines w:val="0"/>
        <w:pageBreakBefore w:val="0"/>
        <w:kinsoku/>
        <w:wordWrap/>
        <w:overflowPunct/>
        <w:topLinePunct w:val="0"/>
        <w:bidi w:val="0"/>
        <w:spacing w:after="0" w:line="600" w:lineRule="exact"/>
        <w:textAlignment w:val="auto"/>
      </w:pPr>
    </w:p>
    <w:p w14:paraId="3EB5F45A">
      <w:pPr>
        <w:pStyle w:val="2"/>
        <w:keepNext w:val="0"/>
        <w:keepLines w:val="0"/>
        <w:pageBreakBefore w:val="0"/>
        <w:kinsoku/>
        <w:wordWrap/>
        <w:overflowPunct/>
        <w:topLinePunct w:val="0"/>
        <w:bidi w:val="0"/>
        <w:spacing w:after="0" w:line="600" w:lineRule="exact"/>
        <w:textAlignment w:val="auto"/>
      </w:pPr>
    </w:p>
    <w:p w14:paraId="40F387AD">
      <w:pPr>
        <w:pStyle w:val="2"/>
      </w:pPr>
    </w:p>
    <w:p w14:paraId="06287058">
      <w:pPr>
        <w:pStyle w:val="2"/>
      </w:pPr>
    </w:p>
    <w:p w14:paraId="02ACFE2E">
      <w:pPr>
        <w:pStyle w:val="2"/>
      </w:pPr>
    </w:p>
    <w:p w14:paraId="188B5DF1">
      <w:pPr>
        <w:pStyle w:val="2"/>
      </w:pPr>
    </w:p>
    <w:p w14:paraId="098BED3A">
      <w:pPr>
        <w:pStyle w:val="2"/>
      </w:pPr>
    </w:p>
    <w:p w14:paraId="4104E62C">
      <w:pPr>
        <w:pStyle w:val="2"/>
      </w:pPr>
    </w:p>
    <w:p w14:paraId="709C6CED">
      <w:pPr>
        <w:pStyle w:val="2"/>
      </w:pPr>
    </w:p>
    <w:p w14:paraId="0DCFC3CB">
      <w:pPr>
        <w:pStyle w:val="2"/>
      </w:pPr>
    </w:p>
    <w:p w14:paraId="08151AC7">
      <w:pPr>
        <w:adjustRightInd w:val="0"/>
        <w:snapToGrid w:val="0"/>
        <w:spacing w:line="600" w:lineRule="exact"/>
        <w:jc w:val="center"/>
        <w:rPr>
          <w:rFonts w:hint="default" w:ascii="Times New Roman" w:hAnsi="Times New Roman" w:cs="Times New Roman"/>
          <w:b/>
          <w:color w:val="auto"/>
          <w:sz w:val="44"/>
          <w:szCs w:val="44"/>
        </w:rPr>
      </w:pPr>
      <w:r>
        <w:rPr>
          <w:rFonts w:hint="default" w:ascii="Times New Roman" w:hAnsi="Times New Roman" w:eastAsia="方正小标宋简体" w:cs="Times New Roman"/>
          <w:color w:val="auto"/>
          <w:sz w:val="44"/>
          <w:szCs w:val="44"/>
        </w:rPr>
        <w:t>申请人承诺书</w:t>
      </w:r>
    </w:p>
    <w:p w14:paraId="2BBB8EF2">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黑体" w:cs="Times New Roman"/>
          <w:color w:val="auto"/>
          <w:kern w:val="0"/>
          <w:sz w:val="32"/>
          <w:szCs w:val="32"/>
        </w:rPr>
      </w:pPr>
    </w:p>
    <w:p w14:paraId="2CDACFCB">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一、基本信息</w:t>
      </w:r>
    </w:p>
    <w:p w14:paraId="3A88C0B3">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（一）申请人（自然人）：</w:t>
      </w:r>
    </w:p>
    <w:p w14:paraId="4401DCE5">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u w:val="single"/>
        </w:rPr>
      </w:pPr>
      <w:r>
        <w:rPr>
          <w:rFonts w:hint="default" w:ascii="Times New Roman" w:hAnsi="Times New Roman" w:eastAsia="仿宋_GB2312" w:cs="Times New Roman"/>
          <w:color w:val="auto"/>
          <w:kern w:val="0"/>
          <w:sz w:val="32"/>
          <w:szCs w:val="32"/>
        </w:rPr>
        <w:t>姓  名:</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rPr>
        <w:t>联系方式:</w:t>
      </w:r>
      <w:r>
        <w:rPr>
          <w:rFonts w:hint="default" w:ascii="Times New Roman" w:hAnsi="Times New Roman" w:eastAsia="仿宋_GB2312" w:cs="Times New Roman"/>
          <w:color w:val="auto"/>
          <w:kern w:val="0"/>
          <w:sz w:val="32"/>
          <w:szCs w:val="32"/>
          <w:u w:val="single"/>
        </w:rPr>
        <w:t xml:space="preserve">                    </w:t>
      </w:r>
    </w:p>
    <w:p w14:paraId="65FFFC92">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证件类型:</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rPr>
        <w:t>证    号:</w:t>
      </w:r>
      <w:r>
        <w:rPr>
          <w:rFonts w:hint="default" w:ascii="Times New Roman" w:hAnsi="Times New Roman" w:eastAsia="仿宋_GB2312" w:cs="Times New Roman"/>
          <w:color w:val="auto"/>
          <w:kern w:val="0"/>
          <w:sz w:val="32"/>
          <w:szCs w:val="32"/>
          <w:u w:val="single"/>
        </w:rPr>
        <w:t xml:space="preserve">                    </w:t>
      </w:r>
    </w:p>
    <w:p w14:paraId="40267F16">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（法人或其他组织）</w:t>
      </w:r>
    </w:p>
    <w:p w14:paraId="4686C74C">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单位名称：</w:t>
      </w:r>
      <w:r>
        <w:rPr>
          <w:rFonts w:hint="default" w:ascii="Times New Roman" w:hAnsi="Times New Roman" w:eastAsia="仿宋_GB2312" w:cs="Times New Roman"/>
          <w:color w:val="auto"/>
          <w:kern w:val="0"/>
          <w:sz w:val="32"/>
          <w:szCs w:val="32"/>
          <w:u w:val="single"/>
        </w:rPr>
        <w:t xml:space="preserve">                                           </w:t>
      </w:r>
    </w:p>
    <w:p w14:paraId="0B5A82F0">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证件类型：</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rPr>
        <w:t xml:space="preserve"> 证    号：</w:t>
      </w:r>
      <w:r>
        <w:rPr>
          <w:rFonts w:hint="default" w:ascii="Times New Roman" w:hAnsi="Times New Roman" w:eastAsia="仿宋_GB2312" w:cs="Times New Roman"/>
          <w:color w:val="auto"/>
          <w:kern w:val="0"/>
          <w:sz w:val="32"/>
          <w:szCs w:val="32"/>
          <w:u w:val="single"/>
        </w:rPr>
        <w:t xml:space="preserve">                  </w:t>
      </w:r>
    </w:p>
    <w:p w14:paraId="7E13DC1B">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法定代表人（负责人）：</w:t>
      </w:r>
      <w:r>
        <w:rPr>
          <w:rFonts w:hint="default" w:ascii="Times New Roman" w:hAnsi="Times New Roman" w:eastAsia="仿宋_GB2312" w:cs="Times New Roman"/>
          <w:color w:val="auto"/>
          <w:kern w:val="0"/>
          <w:sz w:val="32"/>
          <w:szCs w:val="32"/>
          <w:u w:val="single"/>
        </w:rPr>
        <w:t xml:space="preserve">                               </w:t>
      </w:r>
    </w:p>
    <w:p w14:paraId="5A0AC9E5">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地    址：</w:t>
      </w:r>
      <w:r>
        <w:rPr>
          <w:rFonts w:hint="default" w:ascii="Times New Roman" w:hAnsi="Times New Roman" w:eastAsia="仿宋_GB2312" w:cs="Times New Roman"/>
          <w:color w:val="auto"/>
          <w:kern w:val="0"/>
          <w:sz w:val="32"/>
          <w:szCs w:val="32"/>
          <w:u w:val="single"/>
        </w:rPr>
        <w:t xml:space="preserve">                                           </w:t>
      </w:r>
    </w:p>
    <w:p w14:paraId="4FEAC54B">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联系方式：</w:t>
      </w:r>
      <w:r>
        <w:rPr>
          <w:rFonts w:hint="default" w:ascii="Times New Roman" w:hAnsi="Times New Roman" w:eastAsia="仿宋_GB2312" w:cs="Times New Roman"/>
          <w:color w:val="auto"/>
          <w:kern w:val="0"/>
          <w:sz w:val="32"/>
          <w:szCs w:val="32"/>
          <w:u w:val="single"/>
        </w:rPr>
        <w:t xml:space="preserve">                                           </w:t>
      </w:r>
    </w:p>
    <w:p w14:paraId="00718869">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（委托代理人）</w:t>
      </w:r>
    </w:p>
    <w:p w14:paraId="78523060">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姓    名：</w:t>
      </w:r>
      <w:r>
        <w:rPr>
          <w:rFonts w:hint="default" w:ascii="Times New Roman" w:hAnsi="Times New Roman" w:eastAsia="仿宋_GB2312" w:cs="Times New Roman"/>
          <w:color w:val="auto"/>
          <w:kern w:val="0"/>
          <w:sz w:val="32"/>
          <w:szCs w:val="32"/>
          <w:u w:val="single"/>
        </w:rPr>
        <w:t xml:space="preserve">               </w:t>
      </w:r>
    </w:p>
    <w:p w14:paraId="06BC37A2">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证件类型：</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rPr>
        <w:t xml:space="preserve">  证    号：</w:t>
      </w:r>
      <w:r>
        <w:rPr>
          <w:rFonts w:hint="default" w:ascii="Times New Roman" w:hAnsi="Times New Roman" w:eastAsia="仿宋_GB2312" w:cs="Times New Roman"/>
          <w:color w:val="auto"/>
          <w:kern w:val="0"/>
          <w:sz w:val="32"/>
          <w:szCs w:val="32"/>
          <w:u w:val="single"/>
        </w:rPr>
        <w:t xml:space="preserve">                 </w:t>
      </w:r>
    </w:p>
    <w:p w14:paraId="5ED587BB">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仿宋_GB2312" w:cs="Times New Roman"/>
          <w:color w:val="auto"/>
          <w:kern w:val="0"/>
          <w:sz w:val="32"/>
          <w:szCs w:val="32"/>
          <w:u w:val="single"/>
        </w:rPr>
      </w:pPr>
      <w:r>
        <w:rPr>
          <w:rFonts w:hint="default" w:ascii="Times New Roman" w:hAnsi="Times New Roman" w:eastAsia="仿宋_GB2312" w:cs="Times New Roman"/>
          <w:color w:val="auto"/>
          <w:kern w:val="0"/>
          <w:sz w:val="32"/>
          <w:szCs w:val="32"/>
        </w:rPr>
        <w:t xml:space="preserve">联系方式: </w:t>
      </w:r>
      <w:r>
        <w:rPr>
          <w:rFonts w:hint="default" w:ascii="Times New Roman" w:hAnsi="Times New Roman" w:eastAsia="仿宋_GB2312" w:cs="Times New Roman"/>
          <w:color w:val="auto"/>
          <w:kern w:val="0"/>
          <w:sz w:val="32"/>
          <w:szCs w:val="32"/>
          <w:u w:val="single"/>
        </w:rPr>
        <w:t xml:space="preserve">                                           </w:t>
      </w:r>
    </w:p>
    <w:p w14:paraId="0DDA409F">
      <w:pPr>
        <w:keepNext w:val="0"/>
        <w:keepLines w:val="0"/>
        <w:pageBreakBefore w:val="0"/>
        <w:kinsoku/>
        <w:wordWrap/>
        <w:overflowPunct/>
        <w:topLinePunct w:val="0"/>
        <w:autoSpaceDE/>
        <w:autoSpaceDN/>
        <w:bidi w:val="0"/>
        <w:spacing w:line="600" w:lineRule="exact"/>
        <w:ind w:firstLine="640" w:firstLineChars="200"/>
        <w:textAlignment w:val="auto"/>
        <w:rPr>
          <w:rFonts w:hint="default" w:ascii="Times New Roman" w:hAnsi="Times New Roman" w:eastAsia="楷体_GB2312" w:cs="Times New Roman"/>
          <w:color w:val="auto"/>
          <w:kern w:val="0"/>
          <w:sz w:val="32"/>
          <w:szCs w:val="32"/>
        </w:rPr>
      </w:pPr>
      <w:r>
        <w:rPr>
          <w:rFonts w:hint="default" w:ascii="Times New Roman" w:hAnsi="Times New Roman" w:eastAsia="楷体_GB2312" w:cs="Times New Roman"/>
          <w:color w:val="auto"/>
          <w:kern w:val="0"/>
          <w:sz w:val="32"/>
          <w:szCs w:val="32"/>
        </w:rPr>
        <w:t>（注：此项由申请人或委托人填写）</w:t>
      </w:r>
    </w:p>
    <w:p w14:paraId="7DCE823E">
      <w:pPr>
        <w:spacing w:before="100" w:beforeAutospacing="1" w:after="100" w:afterAutospacing="1" w:line="600" w:lineRule="exact"/>
        <w:ind w:firstLine="63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（二）行政机关</w:t>
      </w:r>
    </w:p>
    <w:p w14:paraId="5FE6BD40">
      <w:pPr>
        <w:keepNext w:val="0"/>
        <w:keepLines w:val="0"/>
        <w:pageBreakBefore w:val="0"/>
        <w:widowControl/>
        <w:kinsoku/>
        <w:wordWrap/>
        <w:overflowPunct/>
        <w:topLinePunct w:val="0"/>
        <w:autoSpaceDE/>
        <w:autoSpaceDN/>
        <w:bidi w:val="0"/>
        <w:adjustRightInd w:val="0"/>
        <w:snapToGrid w:val="0"/>
        <w:spacing w:after="200" w:line="600" w:lineRule="exact"/>
        <w:ind w:firstLine="640" w:firstLineChars="200"/>
        <w:textAlignment w:val="auto"/>
        <w:rPr>
          <w:rFonts w:ascii="Times New Roman" w:hAnsi="Times New Roman" w:eastAsia="仿宋_GB2312" w:cs="Times New Roman"/>
          <w:color w:val="FF0000"/>
          <w:sz w:val="32"/>
          <w:szCs w:val="32"/>
        </w:rPr>
      </w:pPr>
      <w:r>
        <w:rPr>
          <w:rFonts w:ascii="Times New Roman" w:hAnsi="Times New Roman" w:eastAsia="仿宋_GB2312" w:cs="Times New Roman"/>
          <w:color w:val="auto"/>
          <w:sz w:val="32"/>
          <w:szCs w:val="32"/>
        </w:rPr>
        <w:t xml:space="preserve">名  称: </w:t>
      </w:r>
      <w:r>
        <w:rPr>
          <w:rFonts w:hint="eastAsia" w:ascii="仿宋_GB2312" w:hAnsi="仿宋_GB2312" w:eastAsia="仿宋_GB2312" w:cs="仿宋_GB2312"/>
          <w:color w:val="auto"/>
          <w:sz w:val="32"/>
          <w:szCs w:val="32"/>
          <w:u w:val="single"/>
          <w:lang w:eastAsia="zh-CN"/>
        </w:rPr>
        <w:t>株洲市芦淞区农业农村局</w:t>
      </w:r>
    </w:p>
    <w:p w14:paraId="3BBE8439">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color w:val="auto"/>
          <w:kern w:val="2"/>
          <w:sz w:val="32"/>
          <w:szCs w:val="32"/>
          <w:u w:val="single"/>
          <w:lang w:val="en-US" w:eastAsia="zh-CN" w:bidi="ar-SA"/>
        </w:rPr>
      </w:pPr>
      <w:r>
        <w:rPr>
          <w:rFonts w:ascii="Times New Roman" w:hAnsi="Times New Roman" w:eastAsia="仿宋_GB2312" w:cs="Times New Roman"/>
          <w:color w:val="auto"/>
          <w:sz w:val="32"/>
          <w:szCs w:val="32"/>
        </w:rPr>
        <w:t>联 系 人：</w:t>
      </w:r>
      <w:r>
        <w:rPr>
          <w:rFonts w:ascii="Times New Roman" w:hAnsi="Times New Roman" w:eastAsia="仿宋_GB2312" w:cs="Times New Roman"/>
          <w:color w:val="auto"/>
          <w:sz w:val="32"/>
          <w:szCs w:val="32"/>
          <w:u w:val="single"/>
        </w:rPr>
        <w:t>     </w:t>
      </w:r>
      <w:r>
        <w:rPr>
          <w:rFonts w:hint="eastAsia" w:ascii="Times New Roman" w:hAnsi="Times New Roman" w:eastAsia="仿宋_GB2312" w:cs="Times New Roman"/>
          <w:color w:val="auto"/>
          <w:sz w:val="32"/>
          <w:szCs w:val="32"/>
          <w:u w:val="single"/>
          <w:lang w:eastAsia="zh-CN"/>
        </w:rPr>
        <w:t>何湘健</w:t>
      </w:r>
      <w:r>
        <w:rPr>
          <w:rFonts w:ascii="Times New Roman" w:hAnsi="Times New Roman" w:eastAsia="仿宋_GB2312" w:cs="Times New Roman"/>
          <w:color w:val="auto"/>
          <w:sz w:val="32"/>
          <w:szCs w:val="32"/>
          <w:u w:val="single"/>
        </w:rPr>
        <w:t>　　</w:t>
      </w:r>
      <w:r>
        <w:rPr>
          <w:rFonts w:ascii="Times New Roman" w:hAnsi="Times New Roman" w:eastAsia="仿宋_GB2312" w:cs="Times New Roman"/>
          <w:color w:val="auto"/>
          <w:sz w:val="32"/>
          <w:szCs w:val="32"/>
        </w:rPr>
        <w:t xml:space="preserve"> 联系方式: </w:t>
      </w:r>
      <w:r>
        <w:rPr>
          <w:rFonts w:ascii="Times New Roman" w:hAnsi="Times New Roman" w:eastAsia="仿宋_GB2312" w:cs="Times New Roman"/>
          <w:color w:val="auto"/>
          <w:sz w:val="32"/>
          <w:szCs w:val="32"/>
          <w:u w:val="single"/>
        </w:rPr>
        <w:t>   </w:t>
      </w:r>
      <w:r>
        <w:rPr>
          <w:rFonts w:hint="eastAsia" w:ascii="仿宋_GB2312" w:hAnsi="仿宋_GB2312" w:eastAsia="仿宋_GB2312" w:cs="仿宋_GB2312"/>
          <w:b w:val="0"/>
          <w:bCs w:val="0"/>
          <w:color w:val="auto"/>
          <w:kern w:val="2"/>
          <w:sz w:val="32"/>
          <w:szCs w:val="32"/>
          <w:u w:val="single"/>
          <w:lang w:val="en-US" w:eastAsia="zh-CN" w:bidi="ar-SA"/>
        </w:rPr>
        <w:t>0731-28580780</w:t>
      </w:r>
    </w:p>
    <w:p w14:paraId="2DF67C76">
      <w:pPr>
        <w:spacing w:line="60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（注：此项由许可审批部门印制）</w:t>
      </w:r>
    </w:p>
    <w:p w14:paraId="39F9F58B">
      <w:pPr>
        <w:spacing w:before="100" w:beforeAutospacing="1" w:after="100" w:afterAutospacing="1" w:line="600" w:lineRule="exact"/>
        <w:ind w:firstLine="63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二、许可事项名称及编码</w:t>
      </w:r>
    </w:p>
    <w:p w14:paraId="0B3FF1C2">
      <w:pPr>
        <w:spacing w:line="600" w:lineRule="exact"/>
        <w:ind w:firstLine="640" w:firstLineChars="200"/>
        <w:rPr>
          <w:rFonts w:ascii="Times New Roman" w:hAnsi="Times New Roman" w:eastAsia="楷体_GB2312" w:cs="Times New Roman"/>
          <w:color w:val="auto"/>
          <w:sz w:val="32"/>
          <w:szCs w:val="32"/>
        </w:rPr>
      </w:pPr>
      <w:r>
        <w:rPr>
          <w:rFonts w:hint="eastAsia" w:ascii="仿宋_GB2312" w:hAnsi="仿宋_GB2312" w:eastAsia="仿宋_GB2312" w:cs="仿宋_GB2312"/>
          <w:color w:val="auto"/>
          <w:sz w:val="32"/>
          <w:szCs w:val="32"/>
          <w:lang w:eastAsia="zh-CN"/>
        </w:rPr>
        <w:t>兽药经营许可证核发</w:t>
      </w:r>
      <w:r>
        <w:rPr>
          <w:rFonts w:hint="eastAsia" w:ascii="仿宋_GB2312" w:hAnsi="仿宋_GB2312" w:eastAsia="仿宋_GB2312" w:cs="仿宋_GB2312"/>
          <w:color w:val="auto"/>
          <w:sz w:val="32"/>
          <w:szCs w:val="32"/>
        </w:rPr>
        <w:t>000120075000</w:t>
      </w:r>
    </w:p>
    <w:p w14:paraId="0CD4303B">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63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三、申请人承诺</w:t>
      </w:r>
    </w:p>
    <w:p w14:paraId="62B0469B">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申请人就申请审批的行政许可事项，现作出下列承诺：</w:t>
      </w:r>
    </w:p>
    <w:p w14:paraId="1279B1D8">
      <w:pPr>
        <w:keepNext w:val="0"/>
        <w:keepLines w:val="0"/>
        <w:pageBreakBefore w:val="0"/>
        <w:numPr>
          <w:ilvl w:val="0"/>
          <w:numId w:val="1"/>
        </w:numPr>
        <w:kinsoku/>
        <w:wordWrap/>
        <w:overflowPunct/>
        <w:topLinePunct w:val="0"/>
        <w:autoSpaceDE/>
        <w:autoSpaceDN/>
        <w:bidi w:val="0"/>
        <w:adjustRightInd w:val="0"/>
        <w:snapToGrid w:val="0"/>
        <w:spacing w:line="600" w:lineRule="exact"/>
        <w:ind w:left="1720" w:hanging="108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已经知晓许可事项告知书的全部内容。</w:t>
      </w:r>
    </w:p>
    <w:p w14:paraId="78F3CEE5">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（二）所填写的基本信息真实、准确，所提供的申请材料和内容真实、合法、有效。</w:t>
      </w:r>
    </w:p>
    <w:p w14:paraId="23074067">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w:t>
      </w:r>
      <w:r>
        <w:rPr>
          <w:rFonts w:hint="default" w:ascii="Times New Roman" w:hAnsi="Times New Roman" w:eastAsia="仿宋_GB2312" w:cs="Times New Roman"/>
          <w:color w:val="auto"/>
          <w:sz w:val="32"/>
          <w:szCs w:val="32"/>
        </w:rPr>
        <w:sym w:font="Wingdings 2" w:char="00A3"/>
      </w:r>
      <w:r>
        <w:rPr>
          <w:rFonts w:hint="default" w:ascii="Times New Roman" w:hAnsi="Times New Roman" w:eastAsia="仿宋_GB2312" w:cs="Times New Roman"/>
          <w:color w:val="auto"/>
          <w:sz w:val="32"/>
          <w:szCs w:val="32"/>
        </w:rPr>
        <w:t>认为自身已满足行政机关告知的条件、标准和要求。</w:t>
      </w:r>
    </w:p>
    <w:p w14:paraId="165A84D6">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sym w:font="Wingdings 2" w:char="00A3"/>
      </w:r>
      <w:r>
        <w:rPr>
          <w:rFonts w:hint="default" w:ascii="Times New Roman" w:hAnsi="Times New Roman" w:eastAsia="仿宋_GB2312" w:cs="Times New Roman"/>
          <w:color w:val="auto"/>
          <w:sz w:val="32"/>
          <w:szCs w:val="32"/>
        </w:rPr>
        <w:t>认为自身</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工作日内能满足行政机关告知的条件、标准和要求，并于</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月</w:t>
      </w:r>
      <w:r>
        <w:rPr>
          <w:rFonts w:hint="default" w:ascii="Times New Roman" w:hAnsi="Times New Roman" w:eastAsia="仿宋_GB2312" w:cs="Times New Roman"/>
          <w:color w:val="auto"/>
          <w:sz w:val="32"/>
          <w:szCs w:val="32"/>
          <w:u w:val="single"/>
        </w:rPr>
        <w:t xml:space="preserve">  </w:t>
      </w:r>
      <w:r>
        <w:rPr>
          <w:rFonts w:hint="default" w:ascii="Times New Roman" w:hAnsi="Times New Roman" w:eastAsia="仿宋_GB2312" w:cs="Times New Roman"/>
          <w:color w:val="auto"/>
          <w:sz w:val="32"/>
          <w:szCs w:val="32"/>
        </w:rPr>
        <w:t>日前提交所需材料。</w:t>
      </w:r>
    </w:p>
    <w:p w14:paraId="6446792F">
      <w:pPr>
        <w:keepNext w:val="0"/>
        <w:keepLines w:val="0"/>
        <w:pageBreakBefore w:val="0"/>
        <w:kinsoku/>
        <w:wordWrap/>
        <w:overflowPunct/>
        <w:topLinePunct w:val="0"/>
        <w:autoSpaceDE/>
        <w:autoSpaceDN/>
        <w:bidi w:val="0"/>
        <w:spacing w:after="156" w:afterLines="50" w:line="600" w:lineRule="exact"/>
        <w:ind w:firstLine="640" w:firstLineChars="200"/>
        <w:textAlignment w:val="auto"/>
        <w:rPr>
          <w:rFonts w:hint="default" w:ascii="Times New Roman" w:hAnsi="Times New Roman" w:eastAsia="楷体_GB2312" w:cs="Times New Roman"/>
          <w:color w:val="auto"/>
          <w:kern w:val="0"/>
          <w:sz w:val="32"/>
          <w:szCs w:val="32"/>
        </w:rPr>
      </w:pPr>
      <w:r>
        <w:rPr>
          <w:rFonts w:hint="default" w:ascii="Times New Roman" w:hAnsi="Times New Roman" w:eastAsia="楷体_GB2312" w:cs="Times New Roman"/>
          <w:color w:val="auto"/>
          <w:kern w:val="0"/>
          <w:sz w:val="32"/>
          <w:szCs w:val="32"/>
        </w:rPr>
        <w:t>（注：此项由申请人或委托人填写）</w:t>
      </w:r>
    </w:p>
    <w:p w14:paraId="61E98CFA">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（四）本人承诺许可后，行政机关可依法核查，且本人愿意配合相关核查。</w:t>
      </w:r>
    </w:p>
    <w:p w14:paraId="2DB3CC32">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（五）上述陈述是本申请人真实意愿的表示，若违反承诺或者作出不实承诺的，愿意承担相应的法律责任。</w:t>
      </w:r>
    </w:p>
    <w:p w14:paraId="3545E0D4">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color w:val="auto"/>
          <w:sz w:val="32"/>
          <w:szCs w:val="32"/>
        </w:rPr>
      </w:pPr>
    </w:p>
    <w:p w14:paraId="7BF48849">
      <w:pPr>
        <w:keepNext w:val="0"/>
        <w:keepLines w:val="0"/>
        <w:pageBreakBefore w:val="0"/>
        <w:kinsoku/>
        <w:wordWrap/>
        <w:overflowPunct/>
        <w:topLinePunct w:val="0"/>
        <w:autoSpaceDE/>
        <w:autoSpaceDN/>
        <w:bidi w:val="0"/>
        <w:adjustRightInd w:val="0"/>
        <w:snapToGrid w:val="0"/>
        <w:spacing w:line="600" w:lineRule="exact"/>
        <w:ind w:firstLine="640" w:firstLineChars="200"/>
        <w:jc w:val="center"/>
        <w:textAlignment w:val="auto"/>
        <w:rPr>
          <w:rFonts w:hint="default" w:ascii="Times New Roman" w:hAnsi="Times New Roman" w:eastAsia="仿宋_GB2312" w:cs="Times New Roman"/>
          <w:color w:val="auto"/>
          <w:sz w:val="32"/>
          <w:szCs w:val="32"/>
        </w:rPr>
      </w:pPr>
    </w:p>
    <w:p w14:paraId="4FAABED4">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申请人（委托代理人）:   </w:t>
      </w:r>
      <w:r>
        <w:rPr>
          <w:rFonts w:hint="eastAsia"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首席审批员:</w:t>
      </w:r>
    </w:p>
    <w:p w14:paraId="2DFAB71D">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jc w:val="left"/>
        <w:textAlignment w:val="auto"/>
        <w:rPr>
          <w:rFonts w:hint="default" w:ascii="Times New Roman" w:hAnsi="Times New Roman" w:eastAsia="仿宋_GB2312" w:cs="Times New Roman"/>
          <w:color w:val="auto"/>
          <w:kern w:val="0"/>
          <w:sz w:val="32"/>
          <w:szCs w:val="32"/>
        </w:rPr>
      </w:pPr>
    </w:p>
    <w:p w14:paraId="0A8EA46F">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jc w:val="left"/>
        <w:textAlignment w:val="auto"/>
        <w:rPr>
          <w:rFonts w:hint="default" w:ascii="Times New Roman" w:hAnsi="Times New Roman" w:eastAsia="仿宋_GB2312" w:cs="Times New Roman"/>
          <w:color w:val="auto"/>
          <w:kern w:val="0"/>
          <w:sz w:val="32"/>
          <w:szCs w:val="32"/>
        </w:rPr>
      </w:pPr>
    </w:p>
    <w:p w14:paraId="717FF6DE">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jc w:val="left"/>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（签字盖章）              （行政审批专用章）</w:t>
      </w:r>
    </w:p>
    <w:p w14:paraId="0F0BF83B">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ind w:firstLine="1920" w:firstLineChars="600"/>
        <w:jc w:val="left"/>
        <w:textAlignment w:val="auto"/>
        <w:rPr>
          <w:rFonts w:hint="default" w:ascii="Times New Roman" w:hAnsi="Times New Roman" w:eastAsia="仿宋_GB2312" w:cs="Times New Roman"/>
          <w:color w:val="auto"/>
          <w:kern w:val="0"/>
          <w:sz w:val="32"/>
          <w:szCs w:val="32"/>
        </w:rPr>
      </w:pPr>
    </w:p>
    <w:p w14:paraId="1BE75A31">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jc w:val="left"/>
        <w:textAlignment w:val="auto"/>
        <w:rPr>
          <w:rFonts w:hint="default" w:ascii="Times New Roman" w:hAnsi="Times New Roman" w:eastAsia="仿宋_GB2312" w:cs="Times New Roman"/>
          <w:color w:val="auto"/>
          <w:kern w:val="0"/>
          <w:sz w:val="32"/>
          <w:szCs w:val="32"/>
        </w:rPr>
      </w:pPr>
      <w:r>
        <w:rPr>
          <w:rFonts w:hint="eastAsia"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 xml:space="preserve">年   月   日   </w:t>
      </w:r>
      <w:r>
        <w:rPr>
          <w:rFonts w:hint="eastAsia" w:ascii="Times New Roman" w:hAnsi="Times New Roman" w:eastAsia="仿宋_GB2312" w:cs="Times New Roman"/>
          <w:color w:val="auto"/>
          <w:kern w:val="0"/>
          <w:sz w:val="32"/>
          <w:szCs w:val="32"/>
          <w:lang w:val="en-US" w:eastAsia="zh-CN"/>
        </w:rPr>
        <w:t xml:space="preserve">           </w:t>
      </w:r>
      <w:r>
        <w:rPr>
          <w:rFonts w:hint="default" w:ascii="Times New Roman" w:hAnsi="Times New Roman" w:eastAsia="仿宋_GB2312" w:cs="Times New Roman"/>
          <w:color w:val="auto"/>
          <w:kern w:val="0"/>
          <w:sz w:val="32"/>
          <w:szCs w:val="32"/>
        </w:rPr>
        <w:t>年   月   日</w:t>
      </w:r>
    </w:p>
    <w:p w14:paraId="59F9108B">
      <w:pPr>
        <w:keepNext w:val="0"/>
        <w:keepLines w:val="0"/>
        <w:pageBreakBefore w:val="0"/>
        <w:widowControl/>
        <w:kinsoku/>
        <w:wordWrap/>
        <w:overflowPunct/>
        <w:topLinePunct w:val="0"/>
        <w:autoSpaceDE/>
        <w:autoSpaceDN/>
        <w:bidi w:val="0"/>
        <w:adjustRightInd w:val="0"/>
        <w:snapToGrid w:val="0"/>
        <w:spacing w:before="100" w:beforeAutospacing="1" w:after="100" w:afterAutospacing="1" w:line="600" w:lineRule="exact"/>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（本文书一式两份，行政机关与申请人各执一份）</w:t>
      </w:r>
    </w:p>
    <w:p w14:paraId="65415583">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A2FC15-035B-4AD3-A7A8-507B039452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686BD18-9E52-4021-8A01-A046BFB603AC}"/>
  </w:font>
  <w:font w:name="方正小标宋简体">
    <w:panose1 w:val="02000000000000000000"/>
    <w:charset w:val="86"/>
    <w:family w:val="auto"/>
    <w:pitch w:val="default"/>
    <w:sig w:usb0="00000001" w:usb1="08000000" w:usb2="00000000" w:usb3="00000000" w:csb0="00040000" w:csb1="00000000"/>
    <w:embedRegular r:id="rId3" w:fontKey="{78A2C4B9-4B7F-490E-990E-5133C7BAD6A8}"/>
  </w:font>
  <w:font w:name="仿宋_GB2312">
    <w:altName w:val="仿宋"/>
    <w:panose1 w:val="02010609030101010101"/>
    <w:charset w:val="86"/>
    <w:family w:val="modern"/>
    <w:pitch w:val="default"/>
    <w:sig w:usb0="00000000" w:usb1="00000000" w:usb2="00000000" w:usb3="00000000" w:csb0="00040000" w:csb1="00000000"/>
    <w:embedRegular r:id="rId4" w:fontKey="{9FF4BA46-DE51-44FB-847C-3AF360419682}"/>
  </w:font>
  <w:font w:name="Wingdings 2">
    <w:altName w:val="Wingdings"/>
    <w:panose1 w:val="05020102010507070707"/>
    <w:charset w:val="00"/>
    <w:family w:val="auto"/>
    <w:pitch w:val="default"/>
    <w:sig w:usb0="00000000" w:usb1="00000000" w:usb2="00000000" w:usb3="00000000" w:csb0="80000000" w:csb1="00000000"/>
    <w:embedRegular r:id="rId5" w:fontKey="{7B405FCD-AB79-4A00-ADDC-581470AE7E9C}"/>
  </w:font>
  <w:font w:name="楷体_GB2312">
    <w:altName w:val="楷体"/>
    <w:panose1 w:val="02010609030101010101"/>
    <w:charset w:val="86"/>
    <w:family w:val="modern"/>
    <w:pitch w:val="default"/>
    <w:sig w:usb0="00000000" w:usb1="00000000" w:usb2="00000000" w:usb3="00000000" w:csb0="00040000" w:csb1="00000000"/>
    <w:embedRegular r:id="rId6" w:fontKey="{3CA4394D-6E02-4AF2-B61D-7FFC683D5FC8}"/>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7" w:fontKey="{504DDD0F-9DA5-4D8A-8167-660C4E4E0418}"/>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6F0F63"/>
    <w:multiLevelType w:val="multilevel"/>
    <w:tmpl w:val="706F0F63"/>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001EC"/>
    <w:rsid w:val="25CF3EF4"/>
    <w:rsid w:val="2FE573B9"/>
    <w:rsid w:val="43865BA3"/>
    <w:rsid w:val="49F001EC"/>
    <w:rsid w:val="4CE93B3F"/>
    <w:rsid w:val="6A5430BD"/>
    <w:rsid w:val="6D261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widowControl w:val="0"/>
      <w:autoSpaceDE w:val="0"/>
      <w:autoSpaceDN w:val="0"/>
      <w:adjustRightInd/>
      <w:snapToGrid/>
      <w:spacing w:after="0"/>
    </w:pPr>
    <w:rPr>
      <w:rFonts w:ascii="宋体" w:hAnsi="宋体" w:eastAsia="宋体" w:cs="宋体"/>
      <w:sz w:val="31"/>
      <w:szCs w:val="31"/>
      <w:lang w:val="zh-CN" w:bidi="zh-CN"/>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Autospacing="1" w:after="100" w:afterAutospacing="1"/>
      <w:jc w:val="left"/>
    </w:pPr>
    <w:rPr>
      <w:rFonts w:ascii="宋体"/>
      <w:color w:val="000000"/>
      <w:kern w:val="0"/>
      <w:sz w:val="24"/>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2324</Words>
  <Characters>2398</Characters>
  <Lines>0</Lines>
  <Paragraphs>0</Paragraphs>
  <TotalTime>0</TotalTime>
  <ScaleCrop>false</ScaleCrop>
  <LinksUpToDate>false</LinksUpToDate>
  <CharactersWithSpaces>2863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2021-10-18T04:02:00Z</dcterms:created>
  <dc:creator>Administrator</dc:creator>
  <cp:lastModifiedBy>Ming</cp:lastModifiedBy>
  <dcterms:modified xsi:type="dcterms:W3CDTF">2025-12-13T05:02:58Z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02B8D89863BF49B2BC4C08448C6A9B11</vt:lpwstr>
  </property>
  <property fmtid="{D5CDD505-2E9C-101B-9397-08002B2CF9AE}" pid="4" name="KSOTemplateDocerSaveRecord">
    <vt:lpwstr>eyJoZGlkIjoiZDNlYTA1NWQ5NzcwYzVjY2U1MWRlNWRiNTQyZDc4NjIiLCJ1c2VySWQiOiIyMTczMjM0OTEifQ==</vt:lpwstr>
  </property>
</Properties>
</file>